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lineRule="atLeast" w:line="23"/>
        <w:jc w:val="center"/>
        <w:rPr>
          <w:b w:val="false"/>
          <w:color w:val="0d0d0d"/>
          <w:sz w:val="36"/>
          <w:szCs w:val="36"/>
          <w14:textFill>
            <w14:solidFill>
              <w14:srgbClr w14:val="0c0c0c"/>
            </w14:solidFill>
          </w14:textFill>
        </w:rPr>
      </w:pPr>
      <w:r>
        <w:rPr>
          <w:rFonts w:ascii="微软雅黑" w:cs="微软雅黑" w:eastAsia="微软雅黑" w:hAnsi="微软雅黑" w:hint="eastAsia"/>
          <w:color w:val="0d0d0d"/>
          <w:kern w:val="0"/>
          <w:sz w:val="30"/>
          <w:szCs w:val="30"/>
          <w:lang w:val="en-US" w:eastAsia="zh-CN"/>
          <w14:textFill>
            <w14:solidFill>
              <w14:srgbClr w14:val="0c0c0c"/>
            </w14:solidFill>
          </w14:textFill>
        </w:rPr>
        <w:t>河南农业</w:t>
      </w:r>
      <w:r>
        <w:rPr>
          <w:rFonts w:ascii="微软雅黑" w:cs="微软雅黑" w:eastAsia="微软雅黑" w:hAnsi="微软雅黑" w:hint="eastAsia"/>
          <w:color w:val="0d0d0d"/>
          <w:kern w:val="0"/>
          <w:sz w:val="30"/>
          <w:szCs w:val="30"/>
          <w:lang w:val="en-US" w:eastAsia="zh-CN"/>
          <w14:textFill>
            <w14:solidFill>
              <w14:srgbClr w14:val="0c0c0c"/>
            </w14:solidFill>
          </w14:textFill>
        </w:rPr>
        <w:t>大学文法学院2020年硕士研究生招生调剂工作办法</w:t>
      </w:r>
    </w:p>
    <w:p>
      <w:pPr>
        <w:pStyle w:val="style0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lineRule="auto" w:line="480"/>
        <w:jc w:val="left"/>
        <w:rPr>
          <w:rFonts w:ascii="微软雅黑" w:cs="微软雅黑" w:eastAsia="微软雅黑" w:hAnsi="微软雅黑" w:hint="default"/>
          <w:color w:val="0d0d0d"/>
          <w:kern w:val="0"/>
          <w:sz w:val="30"/>
          <w:szCs w:val="30"/>
          <w:lang w:val="en-US" w:eastAsia="zh-CN"/>
          <w14:textFill>
            <w14:solidFill>
              <w14:srgbClr w14:val="0c0c0c"/>
            </w14:solidFill>
          </w14:textFill>
        </w:rPr>
      </w:pPr>
    </w:p>
    <w:p>
      <w:pPr>
        <w:pStyle w:val="style0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lineRule="auto" w:line="480"/>
        <w:ind w:firstLine="600" w:firstLineChars="200"/>
        <w:jc w:val="left"/>
        <w:rPr>
          <w:rFonts w:ascii="微软雅黑" w:cs="微软雅黑" w:eastAsia="微软雅黑" w:hAnsi="微软雅黑" w:hint="eastAsia"/>
          <w:color w:val="0d0d0d"/>
          <w:kern w:val="0"/>
          <w:sz w:val="30"/>
          <w:szCs w:val="30"/>
          <w:lang w:val="en-US" w:eastAsia="zh-CN"/>
          <w14:textFill>
            <w14:solidFill>
              <w14:srgbClr w14:val="0c0c0c"/>
            </w14:solidFill>
          </w14:textFill>
        </w:rPr>
      </w:pPr>
      <w:r>
        <w:rPr>
          <w:rFonts w:ascii="微软雅黑" w:cs="微软雅黑" w:eastAsia="微软雅黑" w:hAnsi="微软雅黑" w:hint="eastAsia"/>
          <w:b/>
          <w:bCs/>
          <w:color w:val="0d0d0d"/>
          <w:kern w:val="0"/>
          <w:sz w:val="30"/>
          <w:szCs w:val="30"/>
          <w:lang w:val="en-US" w:eastAsia="zh-CN"/>
          <w14:textFill>
            <w14:solidFill>
              <w14:srgbClr w14:val="0c0c0c"/>
            </w14:solidFill>
          </w14:textFill>
        </w:rPr>
        <w:t>一、调剂基本要求</w:t>
      </w:r>
      <w:r>
        <w:rPr>
          <w:rFonts w:ascii="微软雅黑" w:cs="微软雅黑" w:eastAsia="微软雅黑" w:hAnsi="微软雅黑" w:hint="eastAsia"/>
          <w:b/>
          <w:bCs/>
          <w:color w:val="0d0d0d"/>
          <w:kern w:val="0"/>
          <w:sz w:val="24"/>
          <w:szCs w:val="24"/>
          <w:lang w:val="en-US" w:eastAsia="zh-CN"/>
          <w14:textFill>
            <w14:solidFill>
              <w14:srgbClr w14:val="0c0c0c"/>
            </w14:solidFill>
          </w14:textFill>
        </w:rPr>
        <w:br/>
      </w:r>
      <w:r>
        <w:rPr>
          <w:rFonts w:ascii="微软雅黑" w:cs="微软雅黑" w:eastAsia="微软雅黑" w:hAnsi="微软雅黑" w:hint="eastAsia"/>
          <w:color w:val="0d0d0d"/>
          <w:kern w:val="0"/>
          <w:sz w:val="30"/>
          <w:szCs w:val="30"/>
          <w:lang w:val="en-US" w:eastAsia="zh-CN"/>
          <w14:textFill>
            <w14:solidFill>
              <w14:srgbClr w14:val="0c0c0c"/>
            </w14:solidFill>
          </w14:textFill>
        </w:rPr>
        <w:t>       （一）2020年我院接收调剂生的基本条件：</w:t>
      </w:r>
      <w:r>
        <w:rPr>
          <w:rFonts w:ascii="微软雅黑" w:cs="微软雅黑" w:eastAsia="微软雅黑" w:hAnsi="微软雅黑" w:hint="eastAsia"/>
          <w:color w:val="0d0d0d"/>
          <w:kern w:val="0"/>
          <w:sz w:val="24"/>
          <w:szCs w:val="24"/>
          <w:lang w:val="en-US" w:eastAsia="zh-CN"/>
          <w14:textFill>
            <w14:solidFill>
              <w14:srgbClr w14:val="0c0c0c"/>
            </w14:solidFill>
          </w14:textFill>
        </w:rPr>
        <w:br/>
      </w:r>
      <w:r>
        <w:rPr>
          <w:rFonts w:ascii="微软雅黑" w:cs="微软雅黑" w:eastAsia="微软雅黑" w:hAnsi="微软雅黑" w:hint="eastAsia"/>
          <w:color w:val="0d0d0d"/>
          <w:kern w:val="0"/>
          <w:sz w:val="30"/>
          <w:szCs w:val="30"/>
          <w:lang w:val="en-US" w:eastAsia="zh-CN"/>
          <w14:textFill>
            <w14:solidFill>
              <w14:srgbClr w14:val="0c0c0c"/>
            </w14:solidFill>
          </w14:textFill>
        </w:rPr>
        <w:t>       1、符合调入专业的报考条件。</w:t>
      </w:r>
      <w:r>
        <w:rPr>
          <w:rFonts w:ascii="微软雅黑" w:cs="微软雅黑" w:eastAsia="微软雅黑" w:hAnsi="微软雅黑" w:hint="eastAsia"/>
          <w:color w:val="0d0d0d"/>
          <w:kern w:val="0"/>
          <w:sz w:val="24"/>
          <w:szCs w:val="24"/>
          <w:lang w:val="en-US" w:eastAsia="zh-CN"/>
          <w14:textFill>
            <w14:solidFill>
              <w14:srgbClr w14:val="0c0c0c"/>
            </w14:solidFill>
          </w14:textFill>
        </w:rPr>
        <w:br/>
      </w:r>
      <w:r>
        <w:rPr>
          <w:rFonts w:ascii="微软雅黑" w:cs="微软雅黑" w:eastAsia="微软雅黑" w:hAnsi="微软雅黑" w:hint="eastAsia"/>
          <w:color w:val="0d0d0d"/>
          <w:kern w:val="0"/>
          <w:sz w:val="30"/>
          <w:szCs w:val="30"/>
          <w:lang w:val="en-US" w:eastAsia="zh-CN"/>
          <w14:textFill>
            <w14:solidFill>
              <w14:srgbClr w14:val="0c0c0c"/>
            </w14:solidFill>
          </w14:textFill>
        </w:rPr>
        <w:t>       2、初试成绩符合第一志愿报考专业在调入地区的</w:t>
      </w:r>
      <w:bookmarkStart w:id="0" w:name="_GoBack"/>
      <w:bookmarkEnd w:id="0"/>
      <w:r>
        <w:rPr>
          <w:rFonts w:ascii="微软雅黑" w:cs="微软雅黑" w:eastAsia="微软雅黑" w:hAnsi="微软雅黑" w:hint="eastAsia"/>
          <w:color w:val="0d0d0d"/>
          <w:kern w:val="0"/>
          <w:sz w:val="30"/>
          <w:szCs w:val="30"/>
          <w:lang w:val="en-US" w:eastAsia="zh-CN"/>
          <w14:textFill>
            <w14:solidFill>
              <w14:srgbClr w14:val="0c0c0c"/>
            </w14:solidFill>
          </w14:textFill>
        </w:rPr>
        <w:t>全国初试成绩基本要求。</w:t>
      </w:r>
      <w:r>
        <w:rPr>
          <w:rFonts w:ascii="微软雅黑" w:cs="微软雅黑" w:eastAsia="微软雅黑" w:hAnsi="微软雅黑" w:hint="eastAsia"/>
          <w:color w:val="0d0d0d"/>
          <w:kern w:val="0"/>
          <w:sz w:val="24"/>
          <w:szCs w:val="24"/>
          <w:lang w:val="en-US" w:eastAsia="zh-CN"/>
          <w14:textFill>
            <w14:solidFill>
              <w14:srgbClr w14:val="0c0c0c"/>
            </w14:solidFill>
          </w14:textFill>
        </w:rPr>
        <w:br/>
      </w:r>
      <w:r>
        <w:rPr>
          <w:rFonts w:ascii="微软雅黑" w:cs="微软雅黑" w:eastAsia="微软雅黑" w:hAnsi="微软雅黑" w:hint="eastAsia"/>
          <w:color w:val="0d0d0d"/>
          <w:kern w:val="0"/>
          <w:sz w:val="30"/>
          <w:szCs w:val="30"/>
          <w:lang w:val="en-US" w:eastAsia="zh-CN"/>
          <w14:textFill>
            <w14:solidFill>
              <w14:srgbClr w14:val="0c0c0c"/>
            </w14:solidFill>
          </w14:textFill>
        </w:rPr>
        <w:t>       3、调入专业与第一志愿报考专业相同或相近。</w:t>
      </w:r>
      <w:r>
        <w:rPr>
          <w:rFonts w:ascii="微软雅黑" w:cs="微软雅黑" w:eastAsia="微软雅黑" w:hAnsi="微软雅黑" w:hint="eastAsia"/>
          <w:color w:val="0d0d0d"/>
          <w:kern w:val="0"/>
          <w:sz w:val="24"/>
          <w:szCs w:val="24"/>
          <w:lang w:val="en-US" w:eastAsia="zh-CN"/>
          <w14:textFill>
            <w14:solidFill>
              <w14:srgbClr w14:val="0c0c0c"/>
            </w14:solidFill>
          </w14:textFill>
        </w:rPr>
        <w:br/>
      </w:r>
      <w:r>
        <w:rPr>
          <w:rFonts w:ascii="微软雅黑" w:cs="微软雅黑" w:eastAsia="微软雅黑" w:hAnsi="微软雅黑" w:hint="eastAsia"/>
          <w:color w:val="0d0d0d"/>
          <w:kern w:val="0"/>
          <w:sz w:val="30"/>
          <w:szCs w:val="30"/>
          <w:lang w:val="en-US" w:eastAsia="zh-CN"/>
          <w14:textFill>
            <w14:solidFill>
              <w14:srgbClr w14:val="0c0c0c"/>
            </w14:solidFill>
          </w14:textFill>
        </w:rPr>
        <w:t>       4、学院接收所有调剂考生（既包括接收外单位调剂考生，也包括接收本单位内部调剂考生）必须通过教育部指定的“全国硕士生招生调剂服务系统”进行。未通过该系统调剂录取的考生一律无效（各加分项目考生、享受少数民族政策考生可除外）。</w:t>
      </w:r>
      <w:r>
        <w:rPr>
          <w:rFonts w:ascii="微软雅黑" w:cs="微软雅黑" w:eastAsia="微软雅黑" w:hAnsi="微软雅黑" w:hint="eastAsia"/>
          <w:color w:val="0d0d0d"/>
          <w:kern w:val="0"/>
          <w:sz w:val="24"/>
          <w:szCs w:val="24"/>
          <w:lang w:val="en-US" w:eastAsia="zh-CN"/>
          <w14:textFill>
            <w14:solidFill>
              <w14:srgbClr w14:val="0c0c0c"/>
            </w14:solidFill>
          </w14:textFill>
        </w:rPr>
        <w:br/>
      </w:r>
      <w:r>
        <w:rPr>
          <w:rFonts w:ascii="微软雅黑" w:cs="微软雅黑" w:eastAsia="微软雅黑" w:hAnsi="微软雅黑" w:hint="eastAsia"/>
          <w:color w:val="0d0d0d"/>
          <w:kern w:val="0"/>
          <w:sz w:val="30"/>
          <w:szCs w:val="30"/>
          <w:lang w:val="en-US" w:eastAsia="zh-CN"/>
          <w14:textFill>
            <w14:solidFill>
              <w14:srgbClr w14:val="0c0c0c"/>
            </w14:solidFill>
          </w14:textFill>
        </w:rPr>
        <w:t>       （二）学院专业招生计划缺额通过“全国硕士生招生调剂服务系统”和学院网提前向社会精准公布。</w:t>
      </w:r>
      <w:r>
        <w:rPr>
          <w:rFonts w:ascii="微软雅黑" w:cs="微软雅黑" w:eastAsia="微软雅黑" w:hAnsi="微软雅黑" w:hint="eastAsia"/>
          <w:color w:val="0d0d0d"/>
          <w:kern w:val="0"/>
          <w:sz w:val="24"/>
          <w:szCs w:val="24"/>
          <w:lang w:val="en-US" w:eastAsia="zh-CN"/>
          <w14:textFill>
            <w14:solidFill>
              <w14:srgbClr w14:val="0c0c0c"/>
            </w14:solidFill>
          </w14:textFill>
        </w:rPr>
        <w:br/>
      </w:r>
      <w:r>
        <w:rPr>
          <w:rFonts w:ascii="微软雅黑" w:cs="微软雅黑" w:eastAsia="微软雅黑" w:hAnsi="微软雅黑" w:hint="eastAsia"/>
          <w:color w:val="0d0d0d"/>
          <w:kern w:val="0"/>
          <w:sz w:val="30"/>
          <w:szCs w:val="30"/>
          <w:lang w:val="en-US" w:eastAsia="zh-CN"/>
          <w14:textFill>
            <w14:solidFill>
              <w14:srgbClr w14:val="0c0c0c"/>
            </w14:solidFill>
          </w14:textFill>
        </w:rPr>
        <w:t>       （三）考生调剂志愿开放调剂系统时间、调剂志愿锁定时间由学校统一设定，开放调剂系统时间不低于12个小时，调剂志愿锁定时间最长不超过36小时（锁定时间到达后，如学院未明确受理意见，锁定解除，考生可继续填报其它志愿）。学院将会尽快给出受理意见，尽可能缩短考生调剂等待时间。同时，为及时解答考生咨询，确保信息沟通畅通，请考生积极利用调剂系统在线留言功能、咨询电话等渠道及时沟通联系。</w:t>
      </w:r>
      <w:r>
        <w:rPr>
          <w:rFonts w:ascii="微软雅黑" w:cs="微软雅黑" w:eastAsia="微软雅黑" w:hAnsi="微软雅黑" w:hint="eastAsia"/>
          <w:color w:val="0d0d0d"/>
          <w:kern w:val="0"/>
          <w:sz w:val="24"/>
          <w:szCs w:val="24"/>
          <w:lang w:val="en-US" w:eastAsia="zh-CN"/>
          <w14:textFill>
            <w14:solidFill>
              <w14:srgbClr w14:val="0c0c0c"/>
            </w14:solidFill>
          </w14:textFill>
        </w:rPr>
        <w:br/>
      </w:r>
      <w:r>
        <w:rPr>
          <w:rFonts w:ascii="微软雅黑" w:cs="微软雅黑" w:eastAsia="微软雅黑" w:hAnsi="微软雅黑" w:hint="eastAsia"/>
          <w:color w:val="0d0d0d"/>
          <w:kern w:val="0"/>
          <w:sz w:val="30"/>
          <w:szCs w:val="30"/>
          <w:lang w:val="en-US" w:eastAsia="zh-CN"/>
          <w14:textFill>
            <w14:solidFill>
              <w14:srgbClr w14:val="0c0c0c"/>
            </w14:solidFill>
          </w14:textFill>
        </w:rPr>
        <w:t>       （四）在受理考生调剂申请时，坚持公平、择优调入为原则。</w:t>
      </w:r>
    </w:p>
    <w:p>
      <w:pPr>
        <w:pStyle w:val="style0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lineRule="auto" w:line="480"/>
        <w:ind w:firstLine="600" w:firstLineChars="200"/>
        <w:jc w:val="left"/>
        <w:rPr>
          <w:rFonts w:ascii="微软雅黑" w:cs="微软雅黑" w:eastAsia="微软雅黑" w:hAnsi="微软雅黑" w:hint="eastAsia"/>
          <w:color w:val="0d0d0d"/>
          <w:kern w:val="0"/>
          <w:sz w:val="30"/>
          <w:szCs w:val="30"/>
          <w:lang w:val="en-US" w:eastAsia="zh-CN"/>
          <w14:textFill>
            <w14:solidFill>
              <w14:srgbClr w14:val="0c0c0c"/>
            </w14:solidFill>
          </w14:textFill>
        </w:rPr>
      </w:pPr>
      <w:r>
        <w:rPr>
          <w:rFonts w:ascii="微软雅黑" w:cs="微软雅黑" w:eastAsia="微软雅黑" w:hAnsi="微软雅黑" w:hint="eastAsia"/>
          <w:color w:val="0d0d0d"/>
          <w:kern w:val="0"/>
          <w:sz w:val="30"/>
          <w:szCs w:val="30"/>
          <w:lang w:val="en-US" w:eastAsia="zh-CN"/>
          <w14:textFill>
            <w14:solidFill>
              <w14:srgbClr w14:val="0c0c0c"/>
            </w14:solidFill>
          </w14:textFill>
        </w:rPr>
        <w:t>对申请同一招生单位同一专业、初试科目完全相同的调剂考生，学院将严格按考生初试成绩择优遴选调入作为遴选依据。</w:t>
      </w:r>
      <w:r>
        <w:rPr>
          <w:rFonts w:ascii="微软雅黑" w:cs="微软雅黑" w:eastAsia="微软雅黑" w:hAnsi="微软雅黑" w:hint="eastAsia"/>
          <w:color w:val="0d0d0d"/>
          <w:kern w:val="0"/>
          <w:sz w:val="24"/>
          <w:szCs w:val="24"/>
          <w:lang w:val="en-US" w:eastAsia="zh-CN"/>
          <w14:textFill>
            <w14:solidFill>
              <w14:srgbClr w14:val="0c0c0c"/>
            </w14:solidFill>
          </w14:textFill>
        </w:rPr>
        <w:br/>
      </w:r>
      <w:r>
        <w:rPr>
          <w:rFonts w:ascii="微软雅黑" w:cs="微软雅黑" w:eastAsia="微软雅黑" w:hAnsi="微软雅黑" w:hint="eastAsia"/>
          <w:color w:val="0d0d0d"/>
          <w:kern w:val="0"/>
          <w:sz w:val="30"/>
          <w:szCs w:val="30"/>
          <w:lang w:val="en-US" w:eastAsia="zh-CN"/>
          <w14:textFill>
            <w14:solidFill>
              <w14:srgbClr w14:val="0c0c0c"/>
            </w14:solidFill>
          </w14:textFill>
        </w:rPr>
        <w:t>       </w:t>
      </w:r>
      <w:r>
        <w:rPr>
          <w:rFonts w:ascii="微软雅黑" w:cs="微软雅黑" w:eastAsia="微软雅黑" w:hAnsi="微软雅黑" w:hint="eastAsia"/>
          <w:b/>
          <w:bCs/>
          <w:color w:val="0d0d0d"/>
          <w:kern w:val="0"/>
          <w:sz w:val="30"/>
          <w:szCs w:val="30"/>
          <w:lang w:val="en-US" w:eastAsia="zh-CN"/>
          <w14:textFill>
            <w14:solidFill>
              <w14:srgbClr w14:val="0c0c0c"/>
            </w14:solidFill>
          </w14:textFill>
        </w:rPr>
        <w:t>二、调剂程序</w:t>
      </w:r>
      <w:r>
        <w:rPr>
          <w:rFonts w:ascii="微软雅黑" w:cs="微软雅黑" w:eastAsia="微软雅黑" w:hAnsi="微软雅黑" w:hint="eastAsia"/>
          <w:b/>
          <w:bCs/>
          <w:color w:val="0d0d0d"/>
          <w:kern w:val="0"/>
          <w:sz w:val="24"/>
          <w:szCs w:val="24"/>
          <w:lang w:val="en-US" w:eastAsia="zh-CN"/>
          <w14:textFill>
            <w14:solidFill>
              <w14:srgbClr w14:val="0c0c0c"/>
            </w14:solidFill>
          </w14:textFill>
        </w:rPr>
        <w:br/>
      </w:r>
      <w:r>
        <w:rPr>
          <w:rFonts w:ascii="微软雅黑" w:cs="微软雅黑" w:eastAsia="微软雅黑" w:hAnsi="微软雅黑" w:hint="eastAsia"/>
          <w:color w:val="0d0d0d"/>
          <w:kern w:val="0"/>
          <w:sz w:val="30"/>
          <w:szCs w:val="30"/>
          <w:lang w:val="en-US" w:eastAsia="zh-CN"/>
          <w14:textFill>
            <w14:solidFill>
              <w14:srgbClr w14:val="0c0c0c"/>
            </w14:solidFill>
          </w14:textFill>
        </w:rPr>
        <w:t>       学院和调剂考生必须通过研招网“硕士研究生调剂复试服务系统”进行相关工作。具体工作按以下程序进行。</w:t>
      </w:r>
      <w:r>
        <w:rPr>
          <w:rFonts w:ascii="微软雅黑" w:cs="微软雅黑" w:eastAsia="微软雅黑" w:hAnsi="微软雅黑" w:hint="eastAsia"/>
          <w:color w:val="0d0d0d"/>
          <w:kern w:val="0"/>
          <w:sz w:val="24"/>
          <w:szCs w:val="24"/>
          <w:lang w:val="en-US" w:eastAsia="zh-CN"/>
          <w14:textFill>
            <w14:solidFill>
              <w14:srgbClr w14:val="0c0c0c"/>
            </w14:solidFill>
          </w14:textFill>
        </w:rPr>
        <w:br/>
      </w:r>
      <w:r>
        <w:rPr>
          <w:rFonts w:ascii="微软雅黑" w:cs="微软雅黑" w:eastAsia="微软雅黑" w:hAnsi="微软雅黑" w:hint="eastAsia"/>
          <w:color w:val="0d0d0d"/>
          <w:kern w:val="0"/>
          <w:sz w:val="30"/>
          <w:szCs w:val="30"/>
          <w:lang w:val="en-US" w:eastAsia="zh-CN"/>
          <w14:textFill>
            <w14:solidFill>
              <w14:srgbClr w14:val="0c0c0c"/>
            </w14:solidFill>
          </w14:textFill>
        </w:rPr>
        <w:t>     （一）学院根据2020年全国硕士研究生招生各专业的生源余缺情况，向学校提出2020年调剂申请（含调剂专业、数量等）。</w:t>
      </w:r>
      <w:r>
        <w:rPr>
          <w:rFonts w:ascii="微软雅黑" w:cs="微软雅黑" w:eastAsia="微软雅黑" w:hAnsi="微软雅黑" w:hint="eastAsia"/>
          <w:color w:val="0d0d0d"/>
          <w:kern w:val="0"/>
          <w:sz w:val="24"/>
          <w:szCs w:val="24"/>
          <w:lang w:val="en-US" w:eastAsia="zh-CN"/>
          <w14:textFill>
            <w14:solidFill>
              <w14:srgbClr w14:val="0c0c0c"/>
            </w14:solidFill>
          </w14:textFill>
        </w:rPr>
        <w:br/>
      </w:r>
      <w:r>
        <w:rPr>
          <w:rFonts w:ascii="微软雅黑" w:cs="微软雅黑" w:eastAsia="微软雅黑" w:hAnsi="微软雅黑" w:hint="eastAsia"/>
          <w:color w:val="0d0d0d"/>
          <w:kern w:val="0"/>
          <w:sz w:val="30"/>
          <w:szCs w:val="30"/>
          <w:lang w:val="en-US" w:eastAsia="zh-CN"/>
          <w14:textFill>
            <w14:solidFill>
              <w14:srgbClr w14:val="0c0c0c"/>
            </w14:solidFill>
          </w14:textFill>
        </w:rPr>
        <w:t>       (二)学校审核同意后，由研究生院在研招网（http://yz.chsi.com.cn）上发布2020年全国硕士研究生招生相关调剂信息。</w:t>
      </w:r>
      <w:r>
        <w:rPr>
          <w:rFonts w:ascii="微软雅黑" w:cs="微软雅黑" w:eastAsia="微软雅黑" w:hAnsi="微软雅黑" w:hint="eastAsia"/>
          <w:color w:val="0d0d0d"/>
          <w:kern w:val="0"/>
          <w:sz w:val="24"/>
          <w:szCs w:val="24"/>
          <w:lang w:val="en-US" w:eastAsia="zh-CN"/>
          <w14:textFill>
            <w14:solidFill>
              <w14:srgbClr w14:val="0c0c0c"/>
            </w14:solidFill>
          </w14:textFill>
        </w:rPr>
        <w:br/>
      </w:r>
      <w:r>
        <w:rPr>
          <w:rFonts w:ascii="微软雅黑" w:cs="微软雅黑" w:eastAsia="微软雅黑" w:hAnsi="微软雅黑" w:hint="eastAsia"/>
          <w:color w:val="0d0d0d"/>
          <w:kern w:val="0"/>
          <w:sz w:val="30"/>
          <w:szCs w:val="30"/>
          <w:lang w:val="en-US" w:eastAsia="zh-CN"/>
          <w14:textFill>
            <w14:solidFill>
              <w14:srgbClr w14:val="0c0c0c"/>
            </w14:solidFill>
          </w14:textFill>
        </w:rPr>
        <w:t>     （三）考生自行登录全国研招网硕士研究生调剂服务系统填报调剂志愿。</w:t>
      </w:r>
      <w:r>
        <w:rPr>
          <w:rFonts w:ascii="微软雅黑" w:cs="微软雅黑" w:eastAsia="微软雅黑" w:hAnsi="微软雅黑" w:hint="eastAsia"/>
          <w:color w:val="0d0d0d"/>
          <w:kern w:val="0"/>
          <w:sz w:val="24"/>
          <w:szCs w:val="24"/>
          <w:lang w:val="en-US" w:eastAsia="zh-CN"/>
          <w14:textFill>
            <w14:solidFill>
              <w14:srgbClr w14:val="0c0c0c"/>
            </w14:solidFill>
          </w14:textFill>
        </w:rPr>
        <w:br/>
      </w:r>
      <w:r>
        <w:rPr>
          <w:rFonts w:ascii="微软雅黑" w:cs="微软雅黑" w:eastAsia="微软雅黑" w:hAnsi="微软雅黑" w:hint="eastAsia"/>
          <w:color w:val="0d0d0d"/>
          <w:kern w:val="0"/>
          <w:sz w:val="30"/>
          <w:szCs w:val="30"/>
          <w:lang w:val="en-US" w:eastAsia="zh-CN"/>
          <w14:textFill>
            <w14:solidFill>
              <w14:srgbClr w14:val="0c0c0c"/>
            </w14:solidFill>
          </w14:textFill>
        </w:rPr>
        <w:t>     （四）学院会及时在研招网上审核调剂考生申请材料,根据本办法及公布实施细则的具体要求，确定同意参加复试的调剂考生名单。</w:t>
      </w:r>
      <w:r>
        <w:rPr>
          <w:rFonts w:ascii="微软雅黑" w:cs="微软雅黑" w:eastAsia="微软雅黑" w:hAnsi="微软雅黑" w:hint="eastAsia"/>
          <w:color w:val="0d0d0d"/>
          <w:kern w:val="0"/>
          <w:sz w:val="24"/>
          <w:szCs w:val="24"/>
          <w:lang w:val="en-US" w:eastAsia="zh-CN"/>
          <w14:textFill>
            <w14:solidFill>
              <w14:srgbClr w14:val="0c0c0c"/>
            </w14:solidFill>
          </w14:textFill>
        </w:rPr>
        <w:br/>
      </w:r>
      <w:r>
        <w:rPr>
          <w:rFonts w:ascii="微软雅黑" w:cs="微软雅黑" w:eastAsia="微软雅黑" w:hAnsi="微软雅黑" w:hint="eastAsia"/>
          <w:color w:val="0d0d0d"/>
          <w:kern w:val="0"/>
          <w:sz w:val="30"/>
          <w:szCs w:val="30"/>
          <w:lang w:val="en-US" w:eastAsia="zh-CN"/>
          <w14:textFill>
            <w14:solidFill>
              <w14:srgbClr w14:val="0c0c0c"/>
            </w14:solidFill>
          </w14:textFill>
        </w:rPr>
        <w:t>     （五）学院安排调剂生复试,及时给出复试结果,将拟录取调剂生名单报研究生院。</w:t>
      </w:r>
      <w:r>
        <w:rPr>
          <w:rFonts w:ascii="微软雅黑" w:cs="微软雅黑" w:eastAsia="微软雅黑" w:hAnsi="微软雅黑" w:hint="eastAsia"/>
          <w:color w:val="0d0d0d"/>
          <w:kern w:val="0"/>
          <w:sz w:val="24"/>
          <w:szCs w:val="24"/>
          <w:lang w:val="en-US" w:eastAsia="zh-CN"/>
          <w14:textFill>
            <w14:solidFill>
              <w14:srgbClr w14:val="0c0c0c"/>
            </w14:solidFill>
          </w14:textFill>
        </w:rPr>
        <w:br/>
      </w:r>
      <w:r>
        <w:rPr>
          <w:rFonts w:ascii="微软雅黑" w:cs="微软雅黑" w:eastAsia="微软雅黑" w:hAnsi="微软雅黑" w:hint="eastAsia"/>
          <w:color w:val="0d0d0d"/>
          <w:kern w:val="0"/>
          <w:sz w:val="30"/>
          <w:szCs w:val="30"/>
          <w:lang w:val="en-US" w:eastAsia="zh-CN"/>
          <w14:textFill>
            <w14:solidFill>
              <w14:srgbClr w14:val="0c0c0c"/>
            </w14:solidFill>
          </w14:textFill>
        </w:rPr>
        <w:t>     （六）学校将根据考生综合成绩确定拟录取考生，并通知考生在规定的时间内进行网上确认。考生确认后，即视为被我校拟录取。</w:t>
      </w:r>
      <w:r>
        <w:rPr>
          <w:rFonts w:ascii="微软雅黑" w:cs="微软雅黑" w:eastAsia="微软雅黑" w:hAnsi="微软雅黑" w:hint="eastAsia"/>
          <w:color w:val="0d0d0d"/>
          <w:kern w:val="0"/>
          <w:sz w:val="24"/>
          <w:szCs w:val="24"/>
          <w:lang w:val="en-US" w:eastAsia="zh-CN"/>
          <w14:textFill>
            <w14:solidFill>
              <w14:srgbClr w14:val="0c0c0c"/>
            </w14:solidFill>
          </w14:textFill>
        </w:rPr>
        <w:br/>
      </w:r>
      <w:r>
        <w:rPr>
          <w:rFonts w:ascii="微软雅黑" w:cs="微软雅黑" w:eastAsia="微软雅黑" w:hAnsi="微软雅黑" w:hint="eastAsia"/>
          <w:color w:val="0d0d0d"/>
          <w:kern w:val="0"/>
          <w:sz w:val="30"/>
          <w:szCs w:val="30"/>
          <w:lang w:val="en-US" w:eastAsia="zh-CN"/>
          <w14:textFill>
            <w14:solidFill>
              <w14:srgbClr w14:val="0c0c0c"/>
            </w14:solidFill>
          </w14:textFill>
        </w:rPr>
        <w:t>     （七）在规定时间内未确认的考生，视为自动放弃复试或拟录取资格。</w:t>
      </w:r>
    </w:p>
    <w:p>
      <w:pPr>
        <w:pStyle w:val="style0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lineRule="auto" w:line="480"/>
        <w:ind w:firstLine="600" w:firstLineChars="200"/>
        <w:jc w:val="left"/>
        <w:rPr>
          <w:color w:val="0d0d0d"/>
          <w14:textFill>
            <w14:solidFill>
              <w14:srgbClr w14:val="0c0c0c"/>
            </w14:solidFill>
          </w14:textFill>
        </w:rPr>
      </w:pPr>
      <w:r>
        <w:rPr>
          <w:rFonts w:ascii="微软雅黑" w:cs="微软雅黑" w:hAnsi="微软雅黑" w:hint="eastAsia"/>
          <w:color w:val="0d0d0d"/>
          <w:kern w:val="0"/>
          <w:sz w:val="30"/>
          <w:szCs w:val="30"/>
          <w:lang w:val="en-US" w:eastAsia="zh-CN"/>
          <w14:textFill>
            <w14:solidFill>
              <w14:srgbClr w14:val="0c0c0c"/>
            </w14:solidFill>
          </w14:textFill>
        </w:rPr>
        <w:t>备注</w:t>
      </w:r>
      <w:r>
        <w:rPr>
          <w:rFonts w:cs="微软雅黑" w:hAnsi="微软雅黑" w:hint="default"/>
          <w:color w:val="0d0d0d"/>
          <w:kern w:val="0"/>
          <w:sz w:val="30"/>
          <w:szCs w:val="30"/>
          <w:lang w:val="en-US" w:eastAsia="zh-CN"/>
          <w14:textFill>
            <w14:solidFill>
              <w14:srgbClr w14:val="0c0c0c"/>
            </w14:solidFill>
          </w14:textFill>
        </w:rPr>
        <w:t>:</w:t>
      </w:r>
      <w:r>
        <w:rPr>
          <w:rFonts w:cs="微软雅黑" w:hAnsi="微软雅黑" w:hint="eastAsia"/>
          <w:color w:val="0d0d0d"/>
          <w:kern w:val="0"/>
          <w:sz w:val="30"/>
          <w:szCs w:val="30"/>
          <w:lang w:val="en-US" w:eastAsia="zh-CN"/>
          <w14:textFill>
            <w14:solidFill>
              <w14:srgbClr w14:val="0c0c0c"/>
            </w14:solidFill>
          </w14:textFill>
        </w:rPr>
        <w:t>最终调剂方案和录取名额以全国硕士生招生调剂服务系统公布为准。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Cambria">
    <w:altName w:val="Cambria"/>
    <w:panose1 w:val="02040503050004030204"/>
    <w:charset w:val="00"/>
    <w:family w:val="roman"/>
    <w:pitch w:val="default"/>
    <w:sig w:usb0="E00006FF" w:usb1="420024FF" w:usb2="02000000" w:usb3="00000000" w:csb0="2000019F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Tahoma">
    <w:altName w:val="Tahoma"/>
    <w:panose1 w:val="020b0604030005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spacing w:before="0" w:beforeAutospacing="true" w:after="0" w:afterAutospacing="true"/>
      <w:jc w:val="left"/>
    </w:pPr>
    <w:rPr>
      <w:rFonts w:ascii="宋体" w:cs="宋体" w:eastAsia="宋体" w:hAnsi="宋体" w:hint="eastAsia"/>
      <w:b/>
      <w:kern w:val="44"/>
      <w:sz w:val="48"/>
      <w:szCs w:val="48"/>
      <w:lang w:val="en-US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6">
    <w:name w:val="FollowedHyperlink"/>
    <w:basedOn w:val="style65"/>
    <w:next w:val="style86"/>
    <w:uiPriority w:val="0"/>
    <w:rPr>
      <w:color w:val="800080"/>
      <w:u w:val="none"/>
    </w:rPr>
  </w:style>
  <w:style w:type="character" w:styleId="style85">
    <w:name w:val="Hyperlink"/>
    <w:basedOn w:val="style65"/>
    <w:next w:val="style85"/>
    <w:uiPriority w:val="0"/>
    <w:rPr>
      <w:color w:val="0000ff"/>
      <w:u w:val="none"/>
    </w:rPr>
  </w:style>
  <w:style w:type="character" w:customStyle="1" w:styleId="style4097">
    <w:name w:val="dic"/>
    <w:basedOn w:val="style65"/>
    <w:next w:val="style4097"/>
    <w:uiPriority w:val="0"/>
    <w:rPr>
      <w:shd w:val="clear" w:color="auto" w:fill="babab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936</Words>
  <Pages>1</Pages>
  <Characters>973</Characters>
  <Application>WPS Office</Application>
  <DocSecurity>0</DocSecurity>
  <Paragraphs>5</Paragraphs>
  <ScaleCrop>false</ScaleCrop>
  <LinksUpToDate>false</LinksUpToDate>
  <CharactersWithSpaces>1097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2020-05-13T03:44:00Z</dcterms:created>
  <dc:creator>张二龙</dc:creator>
  <lastModifiedBy>PACM00</lastModifiedBy>
  <dcterms:modified xsi:type="dcterms:W3CDTF">2020-05-19T11:07:28Z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